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4A5ABB" w:rsidRDefault="00702973" w:rsidP="004A5ABB">
      <w:pPr>
        <w:pStyle w:val="ODNONIKtreodnonika"/>
        <w:spacing w:before="240" w:after="240"/>
        <w:jc w:val="both"/>
        <w:rPr>
          <w:spacing w:val="-2"/>
          <w:sz w:val="20"/>
          <w:szCs w:val="20"/>
        </w:rPr>
      </w:pPr>
      <w:r w:rsidRPr="004A5ABB">
        <w:rPr>
          <w:b/>
          <w:spacing w:val="-2"/>
          <w:sz w:val="20"/>
          <w:szCs w:val="20"/>
        </w:rPr>
        <w:t>Podstawa prawna</w:t>
      </w:r>
      <w:r w:rsidRPr="004A5ABB">
        <w:rPr>
          <w:spacing w:val="-2"/>
          <w:sz w:val="20"/>
          <w:szCs w:val="20"/>
        </w:rPr>
        <w:t>: art.</w:t>
      </w:r>
      <w:r w:rsidR="005C205B" w:rsidRPr="004A5ABB">
        <w:rPr>
          <w:spacing w:val="-2"/>
          <w:sz w:val="20"/>
          <w:szCs w:val="20"/>
        </w:rPr>
        <w:t xml:space="preserve"> </w:t>
      </w:r>
      <w:r w:rsidR="008D51F6" w:rsidRPr="004A5ABB">
        <w:rPr>
          <w:spacing w:val="-2"/>
          <w:sz w:val="20"/>
          <w:szCs w:val="20"/>
        </w:rPr>
        <w:t>52 ust. 1</w:t>
      </w:r>
      <w:r w:rsidR="005C205B" w:rsidRPr="004A5ABB">
        <w:rPr>
          <w:spacing w:val="-2"/>
          <w:sz w:val="20"/>
          <w:szCs w:val="20"/>
        </w:rPr>
        <w:t xml:space="preserve"> </w:t>
      </w:r>
      <w:r w:rsidR="008D51F6" w:rsidRPr="004A5ABB">
        <w:rPr>
          <w:spacing w:val="-2"/>
          <w:sz w:val="20"/>
          <w:szCs w:val="20"/>
        </w:rPr>
        <w:t xml:space="preserve">oraz art. 64 ust. 1 </w:t>
      </w:r>
      <w:r w:rsidRPr="004A5ABB">
        <w:rPr>
          <w:spacing w:val="-2"/>
          <w:sz w:val="20"/>
          <w:szCs w:val="20"/>
        </w:rPr>
        <w:t>ustawy z dnia 27 marca 2003 r. o planowaniu i zagospodarowaniu przestrzennym (Dz. U. z 2021 r. poz. 741, 784</w:t>
      </w:r>
      <w:r w:rsidR="00EF7919" w:rsidRPr="004A5ABB">
        <w:rPr>
          <w:spacing w:val="-2"/>
          <w:sz w:val="20"/>
          <w:szCs w:val="20"/>
        </w:rPr>
        <w:t>,</w:t>
      </w:r>
      <w:r w:rsidR="005C205B" w:rsidRPr="004A5ABB">
        <w:rPr>
          <w:spacing w:val="-2"/>
          <w:sz w:val="20"/>
          <w:szCs w:val="20"/>
        </w:rPr>
        <w:t xml:space="preserve"> </w:t>
      </w:r>
      <w:r w:rsidRPr="004A5ABB">
        <w:rPr>
          <w:spacing w:val="-2"/>
          <w:sz w:val="20"/>
          <w:szCs w:val="20"/>
        </w:rPr>
        <w:t>922</w:t>
      </w:r>
      <w:r w:rsidR="0082520E" w:rsidRPr="004A5ABB">
        <w:rPr>
          <w:spacing w:val="-2"/>
          <w:sz w:val="20"/>
          <w:szCs w:val="20"/>
        </w:rPr>
        <w:t>, 1873 i 1986</w:t>
      </w:r>
      <w:r w:rsidRPr="004A5ABB">
        <w:rPr>
          <w:spacing w:val="-2"/>
          <w:sz w:val="20"/>
          <w:szCs w:val="20"/>
        </w:rPr>
        <w:t>)</w:t>
      </w:r>
      <w:r w:rsidR="005C205B" w:rsidRPr="004A5ABB">
        <w:rPr>
          <w:spacing w:val="-2"/>
          <w:sz w:val="20"/>
          <w:szCs w:val="20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4A5ABB">
      <w:pPr>
        <w:spacing w:before="120"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1B34A2" w:rsidP="004A5ABB">
      <w:pPr>
        <w:tabs>
          <w:tab w:val="left" w:pos="2182"/>
        </w:tabs>
        <w:spacing w:before="120"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4A5ABB">
      <w:pPr>
        <w:spacing w:before="120"/>
      </w:pPr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0A1C5136" w:rsidR="006B56B6" w:rsidRPr="00B73AE6" w:rsidRDefault="001B34A2" w:rsidP="004A5ABB">
      <w:pPr>
        <w:tabs>
          <w:tab w:val="left" w:pos="2182"/>
        </w:tabs>
        <w:spacing w:after="120"/>
        <w:ind w:firstLine="426"/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B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10674D" w:rsidRDefault="00702973" w:rsidP="00B73AE6">
      <w:pPr>
        <w:pStyle w:val="ODNONIKtreodnonika"/>
        <w:rPr>
          <w:sz w:val="20"/>
          <w:szCs w:val="20"/>
        </w:rPr>
      </w:pPr>
      <w:r w:rsidRPr="0010674D">
        <w:rPr>
          <w:sz w:val="20"/>
          <w:szCs w:val="20"/>
        </w:rPr>
        <w:t xml:space="preserve">Wypełnia się, jeżeli adres do korespondencji </w:t>
      </w:r>
      <w:r w:rsidR="003D1617" w:rsidRPr="0010674D">
        <w:rPr>
          <w:sz w:val="20"/>
          <w:szCs w:val="20"/>
        </w:rPr>
        <w:t xml:space="preserve">wnioskodawcy </w:t>
      </w:r>
      <w:r w:rsidRPr="0010674D">
        <w:rPr>
          <w:sz w:val="20"/>
          <w:szCs w:val="20"/>
        </w:rPr>
        <w:t>jest inny niż wskazany</w:t>
      </w:r>
      <w:r w:rsidR="002E5798" w:rsidRPr="0010674D">
        <w:rPr>
          <w:sz w:val="20"/>
          <w:szCs w:val="20"/>
        </w:rPr>
        <w:t xml:space="preserve"> </w:t>
      </w:r>
      <w:r w:rsidRPr="0010674D">
        <w:rPr>
          <w:sz w:val="20"/>
          <w:szCs w:val="20"/>
        </w:rPr>
        <w:t xml:space="preserve">w pkt </w:t>
      </w:r>
      <w:r w:rsidR="008F009B" w:rsidRPr="0010674D">
        <w:rPr>
          <w:sz w:val="20"/>
          <w:szCs w:val="20"/>
        </w:rPr>
        <w:t>3</w:t>
      </w:r>
      <w:r w:rsidRPr="0010674D">
        <w:rPr>
          <w:sz w:val="20"/>
          <w:szCs w:val="20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4A5ABB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Pr="0010674D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0"/>
          <w:szCs w:val="20"/>
          <w:lang w:eastAsia="en-US"/>
        </w:rPr>
      </w:pPr>
      <w:bookmarkStart w:id="9" w:name="_Hlk39476200"/>
      <w:r w:rsidRPr="0010674D">
        <w:rPr>
          <w:rStyle w:val="Wyrnieniedelikatne"/>
          <w:sz w:val="20"/>
          <w:szCs w:val="20"/>
        </w:rPr>
        <w:t xml:space="preserve">Wypełnia się, jeżeli </w:t>
      </w:r>
      <w:r w:rsidR="003D1617" w:rsidRPr="0010674D">
        <w:rPr>
          <w:rStyle w:val="Wyrnieniedelikatne"/>
          <w:sz w:val="20"/>
          <w:szCs w:val="20"/>
        </w:rPr>
        <w:t xml:space="preserve">wnioskodawca ustanowił </w:t>
      </w:r>
      <w:r w:rsidRPr="0010674D">
        <w:rPr>
          <w:rStyle w:val="Wyrnieniedelikatne"/>
          <w:sz w:val="20"/>
          <w:szCs w:val="20"/>
        </w:rPr>
        <w:t>pełnomocnika</w:t>
      </w:r>
      <w:r w:rsidR="003D1617" w:rsidRPr="0010674D">
        <w:rPr>
          <w:rStyle w:val="Wyrnieniedelikatne"/>
          <w:sz w:val="20"/>
          <w:szCs w:val="20"/>
        </w:rPr>
        <w:t xml:space="preserve"> lub pełnomocnika do doręczeń.</w:t>
      </w:r>
    </w:p>
    <w:p w14:paraId="4723480E" w14:textId="77777777" w:rsidR="002E5798" w:rsidRPr="00A356F3" w:rsidRDefault="001B34A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10674D">
      <w:pPr>
        <w:spacing w:after="240"/>
      </w:pPr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0674D">
      <w:pPr>
        <w:pStyle w:val="Nagwek3"/>
        <w:tabs>
          <w:tab w:val="left" w:pos="9639"/>
        </w:tabs>
        <w:spacing w:before="240" w:after="120"/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1B34A2" w:rsidP="004A5ABB">
      <w:pPr>
        <w:tabs>
          <w:tab w:val="left" w:pos="1473"/>
          <w:tab w:val="left" w:pos="9639"/>
        </w:tabs>
        <w:ind w:firstLine="426"/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1B34A2" w:rsidP="0010674D">
      <w:pPr>
        <w:tabs>
          <w:tab w:val="left" w:pos="1473"/>
          <w:tab w:val="left" w:pos="9639"/>
        </w:tabs>
        <w:spacing w:after="120"/>
        <w:ind w:firstLine="426"/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0DC090E4" w:rsidR="000C4E3F" w:rsidRPr="00823F07" w:rsidRDefault="0010674D" w:rsidP="0010674D">
      <w:pPr>
        <w:pStyle w:val="Nagwek4"/>
        <w:tabs>
          <w:tab w:val="left" w:pos="9781"/>
        </w:tabs>
        <w:spacing w:after="120"/>
        <w:ind w:left="505" w:hanging="505"/>
      </w:pPr>
      <w:r>
        <w:rPr>
          <w:sz w:val="20"/>
          <w:szCs w:val="20"/>
        </w:rPr>
        <w:t xml:space="preserve"> </w:t>
      </w:r>
      <w:r w:rsidR="00741327" w:rsidRPr="004A5ABB">
        <w:rPr>
          <w:sz w:val="20"/>
          <w:szCs w:val="20"/>
        </w:rPr>
        <w:t>P</w:t>
      </w:r>
      <w:r w:rsidR="000C4E3F" w:rsidRPr="004A5ABB">
        <w:rPr>
          <w:sz w:val="20"/>
          <w:szCs w:val="20"/>
        </w:rPr>
        <w:t>owierzchni</w:t>
      </w:r>
      <w:r w:rsidR="00741327" w:rsidRPr="004A5ABB">
        <w:rPr>
          <w:sz w:val="20"/>
          <w:szCs w:val="20"/>
        </w:rPr>
        <w:t>a</w:t>
      </w:r>
      <w:r w:rsidR="000C4E3F" w:rsidRPr="004A5ABB">
        <w:rPr>
          <w:sz w:val="20"/>
          <w:szCs w:val="20"/>
        </w:rPr>
        <w:t xml:space="preserve"> terenu inwestycji w metrach kwadratowych</w:t>
      </w:r>
      <w:r w:rsidR="000C4E3F" w:rsidRPr="00070E15">
        <w:t xml:space="preserve">: </w:t>
      </w:r>
      <w:r w:rsidR="004A5ABB">
        <w:t>…..</w:t>
      </w:r>
      <w:r w:rsidR="00034916">
        <w:t>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10674D">
      <w:pPr>
        <w:pStyle w:val="Nagwek3"/>
        <w:tabs>
          <w:tab w:val="left" w:pos="9639"/>
        </w:tabs>
        <w:spacing w:after="120"/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0674D">
      <w:pPr>
        <w:pStyle w:val="Nagwek3"/>
        <w:tabs>
          <w:tab w:val="left" w:pos="9639"/>
        </w:tabs>
        <w:spacing w:before="120"/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123F8015" w:rsidR="003F293E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3955C8BF" w:rsidR="003B3156" w:rsidRDefault="001B34A2" w:rsidP="004A5ABB">
      <w:pPr>
        <w:pStyle w:val="Nagwek3"/>
        <w:numPr>
          <w:ilvl w:val="0"/>
          <w:numId w:val="0"/>
        </w:numPr>
        <w:jc w:val="center"/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</w:t>
      </w:r>
      <w:r w:rsidR="004A5ABB">
        <w:t xml:space="preserve">        </w:t>
      </w:r>
      <w:r w:rsidR="00090452">
        <w:t xml:space="preserve">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35091ACC" w:rsidR="003B3156" w:rsidRDefault="001B34A2" w:rsidP="004A5ABB">
      <w:pPr>
        <w:jc w:val="center"/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</w:t>
      </w:r>
      <w:r w:rsidR="004A5ABB">
        <w:rPr>
          <w:lang w:eastAsia="en-US"/>
        </w:rPr>
        <w:t xml:space="preserve">          </w:t>
      </w:r>
      <w:r w:rsidR="003B3156">
        <w:rPr>
          <w:lang w:eastAsia="en-US"/>
        </w:rPr>
        <w:t xml:space="preserve">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1F8CD1BC" w:rsidR="001932E7" w:rsidRPr="00B73AE6" w:rsidRDefault="001B34A2" w:rsidP="004A5ABB">
      <w:pPr>
        <w:jc w:val="center"/>
      </w:pPr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</w:t>
      </w:r>
      <w:r w:rsidR="004A5ABB">
        <w:rPr>
          <w:lang w:eastAsia="en-US"/>
        </w:rPr>
        <w:t xml:space="preserve">         </w:t>
      </w:r>
      <w:r w:rsidR="001932E7">
        <w:rPr>
          <w:lang w:eastAsia="en-US"/>
        </w:rPr>
        <w:t xml:space="preserve">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10674D">
      <w:pPr>
        <w:pStyle w:val="Nagwek3"/>
        <w:spacing w:before="240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4A5ABB">
            <w:pPr>
              <w:spacing w:after="24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4A5ABB">
            <w:pPr>
              <w:spacing w:after="60"/>
              <w:ind w:hanging="108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980B99C" w:rsidR="00702973" w:rsidRPr="004A5ABB" w:rsidRDefault="00194DDC" w:rsidP="004A5ABB">
      <w:pPr>
        <w:pStyle w:val="Nagwek4"/>
        <w:spacing w:before="360"/>
        <w:ind w:left="505" w:hanging="505"/>
        <w:rPr>
          <w:sz w:val="20"/>
          <w:szCs w:val="20"/>
        </w:rPr>
      </w:pPr>
      <w:r w:rsidRPr="004A5ABB">
        <w:rPr>
          <w:sz w:val="20"/>
          <w:szCs w:val="20"/>
        </w:rPr>
        <w:t>D</w:t>
      </w:r>
      <w:r w:rsidR="003F6040" w:rsidRPr="004A5ABB">
        <w:rPr>
          <w:sz w:val="20"/>
          <w:szCs w:val="20"/>
        </w:rPr>
        <w:t>odatkowe informacje dotyczące dostępu do drogi publicznej</w:t>
      </w:r>
      <w:r w:rsidR="002A2D9C" w:rsidRPr="004A5ABB">
        <w:rPr>
          <w:sz w:val="20"/>
          <w:szCs w:val="20"/>
          <w:vertAlign w:val="superscript"/>
        </w:rPr>
        <w:fldChar w:fldCharType="begin"/>
      </w:r>
      <w:r w:rsidR="002A2D9C" w:rsidRPr="004A5ABB">
        <w:rPr>
          <w:sz w:val="20"/>
          <w:szCs w:val="20"/>
          <w:vertAlign w:val="superscript"/>
        </w:rPr>
        <w:instrText xml:space="preserve"> NOTEREF _Ref85021366 \h  \* MERGEFORMAT </w:instrText>
      </w:r>
      <w:r w:rsidR="002A2D9C" w:rsidRPr="004A5ABB">
        <w:rPr>
          <w:sz w:val="20"/>
          <w:szCs w:val="20"/>
          <w:vertAlign w:val="superscript"/>
        </w:rPr>
      </w:r>
      <w:r w:rsidR="002A2D9C" w:rsidRPr="004A5ABB">
        <w:rPr>
          <w:sz w:val="20"/>
          <w:szCs w:val="20"/>
          <w:vertAlign w:val="superscript"/>
        </w:rPr>
        <w:fldChar w:fldCharType="separate"/>
      </w:r>
      <w:r w:rsidR="009E5E54" w:rsidRPr="004A5ABB">
        <w:rPr>
          <w:sz w:val="20"/>
          <w:szCs w:val="20"/>
          <w:vertAlign w:val="superscript"/>
        </w:rPr>
        <w:t>3</w:t>
      </w:r>
      <w:r w:rsidR="002A2D9C" w:rsidRPr="004A5ABB">
        <w:rPr>
          <w:sz w:val="20"/>
          <w:szCs w:val="20"/>
          <w:vertAlign w:val="superscript"/>
        </w:rPr>
        <w:fldChar w:fldCharType="end"/>
      </w:r>
      <w:r w:rsidR="002A2D9C" w:rsidRPr="004A5ABB">
        <w:rPr>
          <w:sz w:val="20"/>
          <w:szCs w:val="20"/>
          <w:vertAlign w:val="superscript"/>
        </w:rPr>
        <w:t>)</w:t>
      </w:r>
      <w:r w:rsidR="00822E94" w:rsidRPr="004A5ABB">
        <w:rPr>
          <w:sz w:val="20"/>
          <w:szCs w:val="20"/>
        </w:rPr>
        <w:t>:</w:t>
      </w:r>
      <w:r w:rsidR="004548A9" w:rsidRPr="004A5ABB">
        <w:rPr>
          <w:sz w:val="20"/>
          <w:szCs w:val="20"/>
        </w:rPr>
        <w:t xml:space="preserve"> </w:t>
      </w:r>
      <w:r w:rsidR="004A5ABB">
        <w:rPr>
          <w:sz w:val="20"/>
          <w:szCs w:val="20"/>
        </w:rPr>
        <w:t>……</w:t>
      </w:r>
      <w:r w:rsidR="008A7F4A" w:rsidRPr="004A5ABB">
        <w:rPr>
          <w:sz w:val="20"/>
          <w:szCs w:val="20"/>
        </w:rPr>
        <w:t>…………………………………</w:t>
      </w:r>
      <w:r w:rsidR="001263B3" w:rsidRPr="004A5ABB">
        <w:rPr>
          <w:sz w:val="20"/>
          <w:szCs w:val="20"/>
        </w:rPr>
        <w:t>……</w:t>
      </w:r>
      <w:r w:rsidR="007F102A" w:rsidRPr="004A5ABB">
        <w:rPr>
          <w:sz w:val="20"/>
          <w:szCs w:val="20"/>
        </w:rPr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65BF8353" w:rsidR="00D60569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10674D" w:rsidRDefault="001B34A2" w:rsidP="001263B3">
            <w:pPr>
              <w:spacing w:before="0" w:after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10674D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7FEE82A1" w:rsidR="00985F8D" w:rsidRPr="004A5ABB" w:rsidRDefault="00194DDC" w:rsidP="004A5ABB">
      <w:pPr>
        <w:pStyle w:val="Nagwek4"/>
        <w:spacing w:before="360"/>
        <w:ind w:left="505" w:hanging="505"/>
        <w:rPr>
          <w:sz w:val="20"/>
          <w:szCs w:val="20"/>
        </w:rPr>
      </w:pPr>
      <w:r w:rsidRPr="004A5ABB">
        <w:rPr>
          <w:sz w:val="20"/>
          <w:szCs w:val="20"/>
        </w:rPr>
        <w:t>D</w:t>
      </w:r>
      <w:r w:rsidR="003F6040" w:rsidRPr="004A5ABB">
        <w:rPr>
          <w:sz w:val="20"/>
          <w:szCs w:val="20"/>
        </w:rPr>
        <w:t>odatkowe informacje dotyczące miejsc do parkowania</w:t>
      </w:r>
      <w:r w:rsidR="002A2D9C" w:rsidRPr="004A5ABB">
        <w:rPr>
          <w:sz w:val="20"/>
          <w:szCs w:val="20"/>
          <w:vertAlign w:val="superscript"/>
        </w:rPr>
        <w:fldChar w:fldCharType="begin"/>
      </w:r>
      <w:r w:rsidR="002A2D9C" w:rsidRPr="004A5ABB">
        <w:rPr>
          <w:sz w:val="20"/>
          <w:szCs w:val="20"/>
          <w:vertAlign w:val="superscript"/>
        </w:rPr>
        <w:instrText xml:space="preserve"> NOTEREF _Ref85021366 \h  \* MERGEFORMAT </w:instrText>
      </w:r>
      <w:r w:rsidR="002A2D9C" w:rsidRPr="004A5ABB">
        <w:rPr>
          <w:sz w:val="20"/>
          <w:szCs w:val="20"/>
          <w:vertAlign w:val="superscript"/>
        </w:rPr>
      </w:r>
      <w:r w:rsidR="002A2D9C" w:rsidRPr="004A5ABB">
        <w:rPr>
          <w:sz w:val="20"/>
          <w:szCs w:val="20"/>
          <w:vertAlign w:val="superscript"/>
        </w:rPr>
        <w:fldChar w:fldCharType="separate"/>
      </w:r>
      <w:r w:rsidR="009E5E54" w:rsidRPr="004A5ABB">
        <w:rPr>
          <w:sz w:val="20"/>
          <w:szCs w:val="20"/>
          <w:vertAlign w:val="superscript"/>
        </w:rPr>
        <w:t>3</w:t>
      </w:r>
      <w:r w:rsidR="002A2D9C" w:rsidRPr="004A5ABB">
        <w:rPr>
          <w:sz w:val="20"/>
          <w:szCs w:val="20"/>
          <w:vertAlign w:val="superscript"/>
        </w:rPr>
        <w:fldChar w:fldCharType="end"/>
      </w:r>
      <w:r w:rsidR="002A2D9C" w:rsidRPr="004A5ABB">
        <w:rPr>
          <w:sz w:val="20"/>
          <w:szCs w:val="20"/>
          <w:vertAlign w:val="superscript"/>
        </w:rPr>
        <w:t>)</w:t>
      </w:r>
      <w:r w:rsidR="00BD170C" w:rsidRPr="004A5ABB">
        <w:rPr>
          <w:sz w:val="20"/>
          <w:szCs w:val="20"/>
        </w:rPr>
        <w:t xml:space="preserve">: </w:t>
      </w:r>
      <w:r w:rsidR="004A5ABB">
        <w:rPr>
          <w:sz w:val="20"/>
          <w:szCs w:val="20"/>
        </w:rPr>
        <w:t>…</w:t>
      </w:r>
      <w:r w:rsidR="00BD170C" w:rsidRPr="004A5ABB">
        <w:rPr>
          <w:sz w:val="20"/>
          <w:szCs w:val="20"/>
        </w:rPr>
        <w:t>………</w:t>
      </w:r>
      <w:r w:rsidR="008A7F4A" w:rsidRPr="004A5ABB">
        <w:rPr>
          <w:sz w:val="20"/>
          <w:szCs w:val="20"/>
        </w:rPr>
        <w:t>…………………………………</w:t>
      </w:r>
      <w:r w:rsidR="001263B3" w:rsidRPr="004A5ABB">
        <w:rPr>
          <w:sz w:val="20"/>
          <w:szCs w:val="20"/>
        </w:rPr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A5ABB">
            <w:pPr>
              <w:pStyle w:val="Nagwek5"/>
              <w:spacing w:before="0" w:line="360" w:lineRule="auto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Cs w:val="20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2F695ACC" w:rsidR="00481C41" w:rsidRPr="0010674D" w:rsidRDefault="0010674D" w:rsidP="00601DB5">
                <w:pPr>
                  <w:spacing w:before="0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935C8AB" w:rsidR="00481C41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10674D" w:rsidRDefault="007B4073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Cs w:val="20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10674D" w:rsidRDefault="00126B04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49D67FC3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10674D" w:rsidRDefault="00865F93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Cs w:val="20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10674D" w:rsidRDefault="002561B1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22F20FBD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10674D" w:rsidRDefault="00126B04" w:rsidP="00601DB5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10674D" w:rsidRDefault="00865F93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Cs w:val="20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10674D" w:rsidRDefault="00126B04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1E3F0871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10674D" w:rsidRDefault="00865F93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Cs w:val="20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10674D" w:rsidRDefault="00126B04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089EBF34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10674D" w:rsidRDefault="00865F93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Cs w:val="20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10674D" w:rsidRDefault="00126B04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8D7BF29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10674D" w:rsidRDefault="00865F93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Cs w:val="20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10674D" w:rsidRDefault="00126B04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301B67BC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10674D" w:rsidRDefault="00E830AD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10674D" w:rsidRDefault="00126B04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10674D" w:rsidRDefault="00865F93" w:rsidP="001263B3">
            <w:pPr>
              <w:spacing w:before="0"/>
              <w:jc w:val="center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Cs w:val="20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10674D" w:rsidRDefault="00F30703" w:rsidP="00601DB5">
                <w:pPr>
                  <w:spacing w:before="0"/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2E0BDBD3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10674D" w:rsidRDefault="001B34A2" w:rsidP="0081646A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10674D" w:rsidRDefault="00126B04" w:rsidP="00601DB5">
            <w:pPr>
              <w:spacing w:before="0"/>
              <w:rPr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10674D" w:rsidRDefault="001B34A2" w:rsidP="00601DB5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10674D" w:rsidRDefault="00865F93" w:rsidP="00601DB5">
            <w:pPr>
              <w:spacing w:before="0"/>
              <w:rPr>
                <w:szCs w:val="20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10674D" w:rsidRDefault="001B34A2" w:rsidP="00706EB1">
            <w:pPr>
              <w:spacing w:before="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0BCFE218" w:rsidR="008B0478" w:rsidRPr="0010674D" w:rsidRDefault="001B34A2" w:rsidP="00706EB1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10674D" w:rsidRDefault="001B34A2" w:rsidP="00706EB1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9089FD5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10674D">
      <w:pPr>
        <w:pStyle w:val="Nagwek8"/>
        <w:spacing w:before="240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10674D" w:rsidRDefault="00F25544" w:rsidP="00B73AE6">
      <w:pPr>
        <w:pStyle w:val="Nagwek9"/>
        <w:ind w:hanging="567"/>
        <w:rPr>
          <w:sz w:val="20"/>
          <w:szCs w:val="20"/>
        </w:rPr>
      </w:pPr>
      <w:r w:rsidRPr="0010674D">
        <w:rPr>
          <w:sz w:val="20"/>
          <w:szCs w:val="20"/>
        </w:rPr>
        <w:t>Liczba lokali mieszkalnych, w przypadku budynku mieszkalnego</w:t>
      </w:r>
      <w:r w:rsidR="00EC064D" w:rsidRPr="0010674D">
        <w:rPr>
          <w:sz w:val="20"/>
          <w:szCs w:val="20"/>
        </w:rPr>
        <w:t>:</w:t>
      </w:r>
      <w:r w:rsidR="005B215A" w:rsidRPr="0010674D">
        <w:rPr>
          <w:sz w:val="20"/>
          <w:szCs w:val="20"/>
        </w:rPr>
        <w:t xml:space="preserve"> </w:t>
      </w:r>
    </w:p>
    <w:p w14:paraId="25DD8D82" w14:textId="4AAD443D" w:rsidR="005B215A" w:rsidRPr="0010674D" w:rsidRDefault="00F25544" w:rsidP="00F254A0">
      <w:pPr>
        <w:ind w:left="567"/>
        <w:rPr>
          <w:szCs w:val="20"/>
        </w:rPr>
      </w:pPr>
      <w:r w:rsidRPr="0010674D">
        <w:rPr>
          <w:szCs w:val="20"/>
        </w:rPr>
        <w:t>istniejąca</w:t>
      </w:r>
      <w:r w:rsidR="001F3DA3" w:rsidRPr="0010674D">
        <w:rPr>
          <w:szCs w:val="20"/>
        </w:rPr>
        <w:t xml:space="preserve">: </w:t>
      </w:r>
      <w:r w:rsidR="0050388E" w:rsidRPr="0010674D">
        <w:rPr>
          <w:szCs w:val="20"/>
        </w:rPr>
        <w:t>…………</w:t>
      </w:r>
      <w:r w:rsidR="006974ED" w:rsidRPr="0010674D">
        <w:rPr>
          <w:szCs w:val="20"/>
        </w:rPr>
        <w:t>………..</w:t>
      </w:r>
      <w:r w:rsidR="0050388E" w:rsidRPr="0010674D">
        <w:rPr>
          <w:szCs w:val="20"/>
        </w:rPr>
        <w:t xml:space="preserve"> </w:t>
      </w:r>
      <w:r w:rsidR="006974ED" w:rsidRPr="0010674D">
        <w:rPr>
          <w:szCs w:val="20"/>
        </w:rPr>
        <w:t xml:space="preserve">                  </w:t>
      </w:r>
      <w:r w:rsidRPr="0010674D">
        <w:rPr>
          <w:szCs w:val="20"/>
        </w:rPr>
        <w:t>projektowana</w:t>
      </w:r>
      <w:r w:rsidR="001F3DA3" w:rsidRPr="0010674D">
        <w:rPr>
          <w:szCs w:val="20"/>
        </w:rPr>
        <w:t>:</w:t>
      </w:r>
      <w:r w:rsidR="005B215A" w:rsidRPr="0010674D">
        <w:rPr>
          <w:szCs w:val="20"/>
        </w:rPr>
        <w:t xml:space="preserve"> </w:t>
      </w:r>
      <w:r w:rsidR="0050388E" w:rsidRPr="0010674D">
        <w:rPr>
          <w:szCs w:val="20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36E907EF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4A5ABB" w:rsidRDefault="00F25544" w:rsidP="00321DFB">
      <w:pPr>
        <w:pStyle w:val="Nagwek9"/>
        <w:ind w:left="505"/>
        <w:rPr>
          <w:sz w:val="20"/>
          <w:szCs w:val="20"/>
        </w:rPr>
      </w:pPr>
      <w:r w:rsidRPr="004A5ABB">
        <w:rPr>
          <w:sz w:val="20"/>
          <w:szCs w:val="20"/>
        </w:rPr>
        <w:t xml:space="preserve">Rodzaj poddasza, </w:t>
      </w:r>
      <w:r w:rsidR="00E360D9" w:rsidRPr="004A5ABB">
        <w:rPr>
          <w:sz w:val="20"/>
          <w:szCs w:val="20"/>
        </w:rPr>
        <w:t>jeśli</w:t>
      </w:r>
      <w:r w:rsidRPr="004A5ABB">
        <w:rPr>
          <w:sz w:val="20"/>
          <w:szCs w:val="20"/>
        </w:rPr>
        <w:t xml:space="preserve"> znajduje się w budynku</w:t>
      </w:r>
      <w:r w:rsidR="00806BF0" w:rsidRPr="004A5ABB">
        <w:rPr>
          <w:sz w:val="20"/>
          <w:szCs w:val="20"/>
        </w:rPr>
        <w:t>:</w:t>
      </w:r>
    </w:p>
    <w:p w14:paraId="43DA40A9" w14:textId="45B63B92" w:rsidR="00702973" w:rsidRPr="004A5ABB" w:rsidRDefault="001B34A2" w:rsidP="004A5ABB">
      <w:pPr>
        <w:ind w:firstLine="426"/>
        <w:rPr>
          <w:szCs w:val="20"/>
        </w:rPr>
      </w:pPr>
      <w:sdt>
        <w:sdtPr>
          <w:rPr>
            <w:szCs w:val="20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4A5ABB">
            <w:rPr>
              <w:rFonts w:ascii="Segoe UI Symbol" w:eastAsia="MS Gothic" w:hAnsi="Segoe UI Symbol" w:cs="Segoe UI Symbol"/>
              <w:szCs w:val="20"/>
              <w:lang w:eastAsia="en-US"/>
            </w:rPr>
            <w:t>☐</w:t>
          </w:r>
        </w:sdtContent>
      </w:sdt>
      <w:r w:rsidR="00806BF0" w:rsidRPr="004A5ABB">
        <w:rPr>
          <w:szCs w:val="20"/>
          <w:lang w:eastAsia="en-US"/>
        </w:rPr>
        <w:t xml:space="preserve">  użytkowe         </w:t>
      </w:r>
      <w:sdt>
        <w:sdtPr>
          <w:rPr>
            <w:szCs w:val="20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4A5ABB">
            <w:rPr>
              <w:rFonts w:ascii="Segoe UI Symbol" w:eastAsia="MS Gothic" w:hAnsi="Segoe UI Symbol" w:cs="Segoe UI Symbol"/>
              <w:szCs w:val="20"/>
              <w:lang w:eastAsia="en-US"/>
            </w:rPr>
            <w:t>☐</w:t>
          </w:r>
        </w:sdtContent>
      </w:sdt>
      <w:r w:rsidR="00806BF0" w:rsidRPr="004A5ABB">
        <w:rPr>
          <w:szCs w:val="20"/>
          <w:lang w:eastAsia="en-US"/>
        </w:rPr>
        <w:t xml:space="preserve">  nieużytkowe</w:t>
      </w:r>
      <w:r w:rsidR="00EE5E46" w:rsidRPr="004A5ABB">
        <w:rPr>
          <w:szCs w:val="20"/>
          <w:lang w:eastAsia="en-US"/>
        </w:rPr>
        <w:t xml:space="preserve">         </w:t>
      </w:r>
      <w:sdt>
        <w:sdtPr>
          <w:rPr>
            <w:szCs w:val="20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4A5ABB">
            <w:rPr>
              <w:rFonts w:ascii="Segoe UI Symbol" w:eastAsia="MS Gothic" w:hAnsi="Segoe UI Symbol" w:cs="Segoe UI Symbol"/>
              <w:szCs w:val="20"/>
              <w:lang w:eastAsia="en-US"/>
            </w:rPr>
            <w:t>☐</w:t>
          </w:r>
        </w:sdtContent>
      </w:sdt>
      <w:r w:rsidR="00EE5E46" w:rsidRPr="004A5ABB">
        <w:rPr>
          <w:szCs w:val="20"/>
          <w:lang w:eastAsia="en-US"/>
        </w:rPr>
        <w:t xml:space="preserve">  nie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Cs w:val="20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65A51D63" w:rsidR="000F475F" w:rsidRPr="0010674D" w:rsidRDefault="0010674D" w:rsidP="001263B3">
                <w:pPr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10674D" w:rsidRDefault="000F475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10674D" w:rsidRDefault="000F475F" w:rsidP="001263B3">
                <w:pPr>
                  <w:jc w:val="center"/>
                  <w:rPr>
                    <w:b/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10674D" w:rsidRDefault="000F475F" w:rsidP="001263B3">
                <w:pPr>
                  <w:jc w:val="center"/>
                  <w:rPr>
                    <w:b/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10674D" w:rsidRDefault="000F475F" w:rsidP="001263B3">
                <w:pPr>
                  <w:jc w:val="center"/>
                  <w:rPr>
                    <w:b/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10674D" w:rsidRDefault="000F475F" w:rsidP="001263B3">
                <w:pPr>
                  <w:jc w:val="center"/>
                  <w:rPr>
                    <w:b/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10674D" w:rsidRDefault="000F475F" w:rsidP="001263B3">
                <w:pPr>
                  <w:jc w:val="center"/>
                  <w:rPr>
                    <w:b/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Cs w:val="20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5728B354" w:rsidR="000F475F" w:rsidRPr="0010674D" w:rsidRDefault="0010674D" w:rsidP="001263B3">
                <w:pPr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10674D" w:rsidRDefault="000F475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10674D" w:rsidRDefault="000F475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Cs w:val="20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17B2DD1A" w:rsidR="000F475F" w:rsidRPr="0010674D" w:rsidRDefault="0010674D" w:rsidP="001263B3">
                <w:pPr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10674D" w:rsidRDefault="006615B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10674D" w:rsidRDefault="000F475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10674D" w:rsidRDefault="000F475F" w:rsidP="001263B3">
                <w:pPr>
                  <w:jc w:val="center"/>
                  <w:rPr>
                    <w:szCs w:val="20"/>
                  </w:rPr>
                </w:pPr>
                <w:r w:rsidRPr="0010674D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1B34A2" w:rsidP="0010674D">
      <w:pPr>
        <w:ind w:firstLine="426"/>
      </w:pPr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1B34A2" w:rsidP="0010674D">
      <w:pPr>
        <w:ind w:firstLine="426"/>
      </w:pPr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 w:rsidP="004A5ABB">
            <w:pPr>
              <w:pStyle w:val="Nagwek10"/>
              <w:spacing w:line="360" w:lineRule="auto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68FC45E6" w:rsidR="0063123F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10674D" w:rsidRDefault="001B34A2" w:rsidP="001263B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1067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10674D">
      <w:pPr>
        <w:pStyle w:val="Podtytu"/>
        <w:numPr>
          <w:ilvl w:val="2"/>
          <w:numId w:val="75"/>
        </w:numPr>
        <w:spacing w:before="240" w:after="240"/>
        <w:ind w:left="505" w:hanging="505"/>
      </w:pPr>
      <w:r w:rsidRPr="0010674D">
        <w:rPr>
          <w:rStyle w:val="Wyrnieniedelikatne"/>
          <w:sz w:val="20"/>
          <w:szCs w:val="20"/>
        </w:rPr>
        <w:t>I</w:t>
      </w:r>
      <w:r w:rsidR="00702973" w:rsidRPr="0010674D">
        <w:rPr>
          <w:rStyle w:val="Wyrnieniedelikatne"/>
          <w:sz w:val="20"/>
          <w:szCs w:val="20"/>
        </w:rPr>
        <w:t>nne parametry obiektu budowlanego, niezdefiniowane powyżej</w:t>
      </w:r>
      <w:r w:rsidR="003C0EED" w:rsidRPr="0010674D">
        <w:rPr>
          <w:rStyle w:val="Wyrnieniedelikatne"/>
          <w:sz w:val="20"/>
          <w:szCs w:val="20"/>
          <w:vertAlign w:val="superscript"/>
        </w:rPr>
        <w:fldChar w:fldCharType="begin"/>
      </w:r>
      <w:r w:rsidR="003C0EED" w:rsidRPr="0010674D">
        <w:rPr>
          <w:rStyle w:val="Wyrnieniedelikatne"/>
          <w:sz w:val="20"/>
          <w:szCs w:val="20"/>
          <w:vertAlign w:val="superscript"/>
        </w:rPr>
        <w:instrText xml:space="preserve"> NOTEREF _Ref85021366 \h  \* MERGEFORMAT </w:instrText>
      </w:r>
      <w:r w:rsidR="003C0EED" w:rsidRPr="0010674D">
        <w:rPr>
          <w:rStyle w:val="Wyrnieniedelikatne"/>
          <w:sz w:val="20"/>
          <w:szCs w:val="20"/>
          <w:vertAlign w:val="superscript"/>
        </w:rPr>
      </w:r>
      <w:r w:rsidR="003C0EED" w:rsidRPr="0010674D">
        <w:rPr>
          <w:rStyle w:val="Wyrnieniedelikatne"/>
          <w:sz w:val="20"/>
          <w:szCs w:val="20"/>
          <w:vertAlign w:val="superscript"/>
        </w:rPr>
        <w:fldChar w:fldCharType="separate"/>
      </w:r>
      <w:r w:rsidR="009E5E54" w:rsidRPr="0010674D">
        <w:rPr>
          <w:rStyle w:val="Wyrnieniedelikatne"/>
          <w:sz w:val="20"/>
          <w:szCs w:val="20"/>
          <w:vertAlign w:val="superscript"/>
        </w:rPr>
        <w:t>3</w:t>
      </w:r>
      <w:r w:rsidR="003C0EED" w:rsidRPr="0010674D">
        <w:rPr>
          <w:rStyle w:val="Wyrnieniedelikatne"/>
          <w:sz w:val="20"/>
          <w:szCs w:val="20"/>
          <w:vertAlign w:val="superscript"/>
        </w:rPr>
        <w:fldChar w:fldCharType="end"/>
      </w:r>
      <w:r w:rsidR="003C0EED" w:rsidRPr="0010674D">
        <w:rPr>
          <w:rStyle w:val="Wyrnieniedelikatne"/>
          <w:sz w:val="20"/>
          <w:szCs w:val="20"/>
          <w:vertAlign w:val="superscript"/>
        </w:rPr>
        <w:t>)</w:t>
      </w:r>
      <w:r w:rsidR="006974ED" w:rsidRPr="0010674D">
        <w:rPr>
          <w:rStyle w:val="Wyrnieniedelikatne"/>
          <w:sz w:val="20"/>
          <w:szCs w:val="20"/>
        </w:rPr>
        <w:t>:</w:t>
      </w:r>
      <w:r w:rsidR="006974ED" w:rsidRPr="00396583">
        <w:rPr>
          <w:rStyle w:val="Wyrnieniedelikatne"/>
        </w:rPr>
        <w:t xml:space="preserve">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4A5ABB">
      <w:pPr>
        <w:pStyle w:val="OZNRODZAKTUtznustawalubrozporzdzenieiorganwydajcy"/>
        <w:spacing w:before="240" w:after="240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138561E9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F09F305" w14:textId="74247629" w:rsidR="004A5ABB" w:rsidRDefault="004A5ABB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D5F802" w14:textId="77777777" w:rsidR="004A5ABB" w:rsidRDefault="004A5ABB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0674D">
            <w:pPr>
              <w:pStyle w:val="Nagwek2"/>
              <w:spacing w:after="240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10674D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18DBDA93" w:rsidR="00880E09" w:rsidRPr="004A5ABB" w:rsidRDefault="001B34A2" w:rsidP="00CC0151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14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ABB" w:rsidRPr="004A5A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0E09" w:rsidRPr="004A5ABB">
              <w:rPr>
                <w:szCs w:val="20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4A5ABB" w:rsidRDefault="001B34A2" w:rsidP="00CC0151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4A5A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0E09" w:rsidRPr="004A5ABB">
              <w:rPr>
                <w:szCs w:val="20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4A5ABB" w:rsidRDefault="001B34A2" w:rsidP="00CC0151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4A5A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0E09" w:rsidRPr="004A5ABB">
              <w:rPr>
                <w:szCs w:val="20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4A5ABB" w:rsidRDefault="001B34A2" w:rsidP="004A5ABB">
            <w:pPr>
              <w:spacing w:after="12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4A5A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0E09" w:rsidRPr="004A5ABB">
              <w:rPr>
                <w:szCs w:val="20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4A5ABB">
            <w:pPr>
              <w:spacing w:after="240"/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4641E57A" w:rsidR="00880E09" w:rsidRPr="0010674D" w:rsidRDefault="00880E09" w:rsidP="00880E09">
      <w:pPr>
        <w:pStyle w:val="ODNONIKtreodnonika"/>
        <w:rPr>
          <w:sz w:val="20"/>
          <w:szCs w:val="20"/>
        </w:rPr>
      </w:pPr>
      <w:r w:rsidRPr="0010674D">
        <w:rPr>
          <w:sz w:val="20"/>
          <w:szCs w:val="20"/>
        </w:rPr>
        <w:t>Podpis powinien być czytelny. Podpis i datę podpisu umieszcza się w przypadku składania wniosku w postaci papierowej.</w:t>
      </w:r>
    </w:p>
    <w:p w14:paraId="690D4F56" w14:textId="3B835155" w:rsidR="004A5ABB" w:rsidRPr="0010674D" w:rsidRDefault="004A5ABB" w:rsidP="00880E09">
      <w:pPr>
        <w:pStyle w:val="ODNONIKtreodnonika"/>
        <w:rPr>
          <w:sz w:val="20"/>
          <w:szCs w:val="20"/>
        </w:rPr>
      </w:pPr>
    </w:p>
    <w:p w14:paraId="37D3F689" w14:textId="77777777" w:rsidR="004A5ABB" w:rsidRPr="00945F9B" w:rsidRDefault="004A5ABB" w:rsidP="00880E09">
      <w:pPr>
        <w:pStyle w:val="ODNONIKtreodnonika"/>
      </w:pP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4A5ABB">
      <w:footerReference w:type="default" r:id="rId8"/>
      <w:footerReference w:type="first" r:id="rId9"/>
      <w:endnotePr>
        <w:numFmt w:val="decimal"/>
      </w:endnotePr>
      <w:pgSz w:w="11906" w:h="16838"/>
      <w:pgMar w:top="993" w:right="1080" w:bottom="709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1058" w14:textId="77777777" w:rsidR="001B34A2" w:rsidRDefault="001B34A2" w:rsidP="005F02B9">
      <w:r>
        <w:separator/>
      </w:r>
    </w:p>
    <w:p w14:paraId="2B3DCFD8" w14:textId="77777777" w:rsidR="001B34A2" w:rsidRDefault="001B34A2" w:rsidP="005F02B9"/>
    <w:p w14:paraId="7D5B5D11" w14:textId="77777777" w:rsidR="001B34A2" w:rsidRDefault="001B34A2" w:rsidP="005F02B9"/>
    <w:p w14:paraId="350E5FF2" w14:textId="77777777" w:rsidR="001B34A2" w:rsidRDefault="001B34A2"/>
  </w:endnote>
  <w:endnote w:type="continuationSeparator" w:id="0">
    <w:p w14:paraId="6845859E" w14:textId="77777777" w:rsidR="001B34A2" w:rsidRDefault="001B34A2" w:rsidP="005F02B9">
      <w:r>
        <w:continuationSeparator/>
      </w:r>
    </w:p>
    <w:p w14:paraId="4E23DB16" w14:textId="77777777" w:rsidR="001B34A2" w:rsidRDefault="001B34A2" w:rsidP="005F02B9"/>
    <w:p w14:paraId="5098A8EB" w14:textId="77777777" w:rsidR="001B34A2" w:rsidRDefault="001B34A2" w:rsidP="005F02B9"/>
    <w:p w14:paraId="0B95159E" w14:textId="77777777" w:rsidR="001B34A2" w:rsidRDefault="001B34A2"/>
  </w:endnote>
  <w:endnote w:type="continuationNotice" w:id="1">
    <w:p w14:paraId="31985B86" w14:textId="77777777" w:rsidR="001B34A2" w:rsidRDefault="001B34A2">
      <w:pPr>
        <w:spacing w:before="0" w:after="0"/>
      </w:pPr>
    </w:p>
  </w:endnote>
  <w:endnote w:id="2">
    <w:p w14:paraId="675A152E" w14:textId="772D486A" w:rsidR="004A5ABB" w:rsidRPr="0071292F" w:rsidRDefault="004A5ABB" w:rsidP="008B45D3">
      <w:pPr>
        <w:pStyle w:val="Tekstprzypisukocowego"/>
        <w:spacing w:before="0" w:after="0"/>
        <w:ind w:left="284" w:hanging="284"/>
      </w:pPr>
      <w:r w:rsidRPr="0010674D">
        <w:rPr>
          <w:rStyle w:val="Odwoanieprzypisukocowego"/>
          <w:sz w:val="16"/>
          <w:vertAlign w:val="baseline"/>
        </w:rPr>
        <w:endnoteRef/>
      </w:r>
      <w:r w:rsidRPr="0010674D">
        <w:rPr>
          <w:sz w:val="16"/>
        </w:rPr>
        <w:t>)</w:t>
      </w:r>
      <w:r>
        <w:rPr>
          <w:sz w:val="16"/>
          <w:vertAlign w:val="superscript"/>
        </w:rPr>
        <w:t xml:space="preserve"> </w:t>
      </w:r>
      <w:r w:rsidR="008B45D3">
        <w:rPr>
          <w:sz w:val="16"/>
          <w:vertAlign w:val="superscript"/>
        </w:rPr>
        <w:t xml:space="preserve">  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5E8CD4CA" w:rsidR="004A5ABB" w:rsidRPr="0010674D" w:rsidRDefault="004A5ABB" w:rsidP="008B45D3">
      <w:pPr>
        <w:pStyle w:val="Tekstprzypisukocowego"/>
        <w:spacing w:before="0" w:after="0"/>
        <w:ind w:left="284" w:hanging="284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 xml:space="preserve">W przypadku większej liczby wnioskodawców lub pełnomocników dane </w:t>
      </w:r>
      <w:r w:rsidRPr="0010674D">
        <w:rPr>
          <w:sz w:val="16"/>
          <w:szCs w:val="16"/>
        </w:rPr>
        <w:t>kolejnych wnioskodawców lub pełnomocników dodaje się w formularzu albo zamieszcza na osobnych stronach i dołącza do formularza.</w:t>
      </w:r>
    </w:p>
  </w:endnote>
  <w:endnote w:id="4">
    <w:p w14:paraId="24BB5B37" w14:textId="330DD8FD" w:rsidR="004A5ABB" w:rsidRPr="002A2D9C" w:rsidRDefault="004A5ABB" w:rsidP="008B45D3">
      <w:pPr>
        <w:pStyle w:val="Tekstprzypisukocowego"/>
        <w:spacing w:before="0" w:after="0"/>
        <w:ind w:left="284" w:hanging="284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</w:t>
      </w:r>
      <w:r w:rsidRPr="002A2D9C">
        <w:rPr>
          <w:sz w:val="16"/>
          <w:szCs w:val="16"/>
        </w:rPr>
        <w:t>Nieobowiązkowo.</w:t>
      </w:r>
    </w:p>
  </w:endnote>
  <w:endnote w:id="5">
    <w:p w14:paraId="367C491A" w14:textId="0F94D874" w:rsidR="004A5ABB" w:rsidRPr="005C6A50" w:rsidRDefault="004A5ABB" w:rsidP="008B45D3">
      <w:pPr>
        <w:pStyle w:val="Tekstprzypisukocowego"/>
        <w:spacing w:before="0" w:after="0"/>
        <w:ind w:left="284" w:hanging="284"/>
        <w:rPr>
          <w:rStyle w:val="Odwoanieprzypisukocowego"/>
          <w:spacing w:val="-2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rStyle w:val="Odwoanieprzypisukocowego"/>
          <w:vertAlign w:val="baseline"/>
        </w:rPr>
        <w:t>)</w:t>
      </w:r>
      <w:r w:rsidR="008B45D3">
        <w:t xml:space="preserve">  </w:t>
      </w:r>
      <w:r w:rsidRPr="005C6A50">
        <w:rPr>
          <w:spacing w:val="-2"/>
          <w:sz w:val="16"/>
          <w:szCs w:val="16"/>
        </w:rPr>
        <w:t xml:space="preserve">Adres skrytki </w:t>
      </w:r>
      <w:proofErr w:type="spellStart"/>
      <w:r w:rsidRPr="005C6A50">
        <w:rPr>
          <w:spacing w:val="-2"/>
          <w:sz w:val="16"/>
          <w:szCs w:val="16"/>
        </w:rPr>
        <w:t>ePUAP</w:t>
      </w:r>
      <w:proofErr w:type="spellEnd"/>
      <w:r w:rsidRPr="005C6A50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2914E8E3" w:rsidR="004A5ABB" w:rsidRPr="00294FBD" w:rsidRDefault="004A5ABB" w:rsidP="008B45D3">
      <w:pPr>
        <w:pStyle w:val="Tekstprzypisukocowego"/>
        <w:spacing w:before="0" w:after="0"/>
        <w:ind w:left="284" w:hanging="284"/>
        <w:rPr>
          <w:rStyle w:val="Odwoanieprzypisukocowego"/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rStyle w:val="Odwoanieprzypisukocowego"/>
          <w:sz w:val="16"/>
          <w:szCs w:val="16"/>
          <w:vertAlign w:val="baseline"/>
        </w:rPr>
        <w:t>)</w:t>
      </w:r>
      <w:r w:rsidR="008B45D3">
        <w:rPr>
          <w:sz w:val="16"/>
          <w:szCs w:val="16"/>
        </w:rPr>
        <w:t xml:space="preserve">  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7ED018FE" w:rsidR="004A5ABB" w:rsidRPr="002A2D9C" w:rsidRDefault="004A5ABB" w:rsidP="008B45D3">
      <w:pPr>
        <w:pStyle w:val="Tekstprzypisukocowego"/>
        <w:spacing w:before="0" w:after="0"/>
        <w:ind w:left="284" w:hanging="284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</w:t>
      </w:r>
      <w:r w:rsidRPr="002A2D9C">
        <w:rPr>
          <w:sz w:val="16"/>
          <w:szCs w:val="16"/>
        </w:rPr>
        <w:t xml:space="preserve">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111A3C4C" w:rsidR="004A5ABB" w:rsidRPr="001C5C80" w:rsidRDefault="004A5ABB" w:rsidP="008B45D3">
      <w:pPr>
        <w:pStyle w:val="Tekstprzypisukocowego"/>
        <w:spacing w:before="0" w:after="0"/>
        <w:ind w:left="284" w:hanging="284"/>
        <w:rPr>
          <w:rStyle w:val="Odwoanieprzypisukocowego"/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rStyle w:val="Odwoanieprzypisukocowego"/>
          <w:sz w:val="16"/>
          <w:szCs w:val="16"/>
          <w:vertAlign w:val="baseline"/>
        </w:rPr>
        <w:t>)</w:t>
      </w:r>
      <w:r w:rsidR="008B45D3">
        <w:rPr>
          <w:sz w:val="16"/>
          <w:szCs w:val="16"/>
        </w:rPr>
        <w:t xml:space="preserve">  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4F32A253" w:rsidR="004A5ABB" w:rsidRDefault="004A5ABB" w:rsidP="008B45D3">
      <w:pPr>
        <w:pStyle w:val="Tekstprzypisukocowego"/>
        <w:spacing w:before="0" w:after="0"/>
        <w:ind w:left="284" w:hanging="284"/>
      </w:pPr>
      <w:r w:rsidRPr="0010674D">
        <w:rPr>
          <w:rStyle w:val="Odwoanieprzypisukocowego"/>
          <w:sz w:val="16"/>
          <w:vertAlign w:val="baseline"/>
        </w:rPr>
        <w:endnoteRef/>
      </w:r>
      <w:r w:rsidRPr="0010674D">
        <w:rPr>
          <w:sz w:val="16"/>
        </w:rPr>
        <w:t>)</w:t>
      </w:r>
      <w:r>
        <w:t xml:space="preserve"> </w:t>
      </w:r>
      <w:r w:rsidR="008B45D3">
        <w:t xml:space="preserve"> 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EAB1FBA" w:rsidR="004A5ABB" w:rsidRPr="002A2D9C" w:rsidRDefault="004A5ABB" w:rsidP="008B45D3">
      <w:pPr>
        <w:pStyle w:val="Tekstprzypisukocowego"/>
        <w:spacing w:before="0" w:after="0"/>
        <w:ind w:left="284" w:hanging="284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 xml:space="preserve">) </w:t>
      </w:r>
      <w:r w:rsidR="008B45D3">
        <w:rPr>
          <w:sz w:val="16"/>
          <w:szCs w:val="16"/>
        </w:rPr>
        <w:t xml:space="preserve">  </w:t>
      </w:r>
      <w:r w:rsidRPr="002A2D9C">
        <w:rPr>
          <w:sz w:val="16"/>
          <w:szCs w:val="16"/>
        </w:rPr>
        <w:t>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70AA6038" w:rsidR="004A5ABB" w:rsidRPr="002A2D9C" w:rsidRDefault="004A5ABB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495EE451" w:rsidR="004A5ABB" w:rsidRDefault="004A5ABB" w:rsidP="008B45D3">
      <w:pPr>
        <w:pStyle w:val="Tekstprzypisukocowego"/>
        <w:spacing w:before="0" w:after="0"/>
        <w:ind w:left="284" w:hanging="426"/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>
        <w:t xml:space="preserve"> </w:t>
      </w:r>
      <w:r w:rsidR="008B45D3">
        <w:t xml:space="preserve"> 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64C5D532" w14:textId="20D14F3A" w:rsidR="004A5ABB" w:rsidRPr="008B45D3" w:rsidRDefault="004A5ABB" w:rsidP="008B45D3">
      <w:pPr>
        <w:pStyle w:val="Tekstprzypisukocowego"/>
        <w:spacing w:before="0" w:after="0"/>
        <w:ind w:left="284" w:hanging="426"/>
        <w:jc w:val="both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</w:t>
      </w:r>
      <w:r w:rsidRPr="002A2D9C">
        <w:rPr>
          <w:sz w:val="16"/>
          <w:szCs w:val="16"/>
        </w:rPr>
        <w:t>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4">
    <w:p w14:paraId="3D571BF0" w14:textId="72474152" w:rsidR="004A5ABB" w:rsidRPr="002A2D9C" w:rsidRDefault="004A5ABB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Pr="002A2D9C">
        <w:rPr>
          <w:sz w:val="16"/>
          <w:szCs w:val="16"/>
        </w:rPr>
        <w:t xml:space="preserve"> </w:t>
      </w:r>
      <w:r w:rsidR="008B45D3">
        <w:rPr>
          <w:sz w:val="16"/>
          <w:szCs w:val="16"/>
        </w:rPr>
        <w:t xml:space="preserve">   </w:t>
      </w:r>
      <w:r w:rsidRPr="002A2D9C">
        <w:rPr>
          <w:sz w:val="16"/>
          <w:szCs w:val="16"/>
        </w:rPr>
        <w:t xml:space="preserve">W przypadku określania zapotrzebowania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4FD94BEC" w:rsidR="004A5ABB" w:rsidRPr="0087044F" w:rsidRDefault="004A5ABB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 xml:space="preserve">) </w:t>
      </w:r>
      <w:r w:rsidR="008B45D3">
        <w:rPr>
          <w:sz w:val="16"/>
          <w:szCs w:val="16"/>
        </w:rPr>
        <w:t xml:space="preserve">   </w:t>
      </w:r>
      <w:r w:rsidRPr="0087044F">
        <w:rPr>
          <w:sz w:val="16"/>
          <w:szCs w:val="16"/>
        </w:rPr>
        <w:t>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FA6B6A9" w:rsidR="004A5ABB" w:rsidRDefault="004A5ABB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  <w:r w:rsidRPr="0010674D">
        <w:rPr>
          <w:rStyle w:val="Odwoanieprzypisukocowego"/>
          <w:sz w:val="16"/>
          <w:szCs w:val="16"/>
          <w:vertAlign w:val="baseline"/>
        </w:rPr>
        <w:endnoteRef/>
      </w:r>
      <w:r w:rsidRPr="0010674D">
        <w:rPr>
          <w:sz w:val="16"/>
          <w:szCs w:val="16"/>
        </w:rPr>
        <w:t>)</w:t>
      </w:r>
      <w:r w:rsidR="008B45D3">
        <w:rPr>
          <w:sz w:val="16"/>
          <w:szCs w:val="16"/>
        </w:rPr>
        <w:t xml:space="preserve">   </w:t>
      </w:r>
      <w:r w:rsidRPr="002A2D9C">
        <w:rPr>
          <w:sz w:val="16"/>
          <w:szCs w:val="16"/>
        </w:rPr>
        <w:t xml:space="preserve"> W przypadku podawania ilości składowanych odpadów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  <w:p w14:paraId="29BA476A" w14:textId="6A527510" w:rsidR="001A0124" w:rsidRDefault="001A0124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</w:p>
    <w:p w14:paraId="7861D28E" w14:textId="5BD7996E" w:rsidR="001A0124" w:rsidRDefault="001A0124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</w:p>
    <w:p w14:paraId="7925F6EF" w14:textId="407F3732" w:rsidR="001A0124" w:rsidRDefault="001A0124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</w:p>
    <w:p w14:paraId="65DD551E" w14:textId="77173E01" w:rsidR="001A0124" w:rsidRDefault="001A0124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</w:p>
    <w:p w14:paraId="5FEE8402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/>
        <w:jc w:val="center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b/>
          <w:bCs/>
          <w:iCs w:val="0"/>
          <w:color w:val="000000"/>
          <w:sz w:val="16"/>
          <w:szCs w:val="16"/>
          <w:lang w:eastAsia="en-US"/>
        </w:rPr>
        <w:t>Klauzula informacyjna dotycząca przetwarzania danych osobowych.</w:t>
      </w:r>
    </w:p>
    <w:p w14:paraId="5C4B18EA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b/>
          <w:bCs/>
          <w:iCs w:val="0"/>
          <w:color w:val="000000"/>
          <w:sz w:val="16"/>
          <w:szCs w:val="16"/>
          <w:lang w:eastAsia="en-US"/>
        </w:rPr>
        <w:t xml:space="preserve">Informacje podawane w przypadku zbierania danych osobowych bezpośrednio od osoby, </w:t>
      </w:r>
    </w:p>
    <w:p w14:paraId="4807C131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b/>
          <w:bCs/>
          <w:iCs w:val="0"/>
          <w:color w:val="000000"/>
          <w:sz w:val="16"/>
          <w:szCs w:val="16"/>
          <w:lang w:eastAsia="en-US"/>
        </w:rPr>
        <w:t>której dane dotyczą, zgodnie z art. 13 RODO</w:t>
      </w:r>
    </w:p>
    <w:p w14:paraId="6C8B5C20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/>
        <w:jc w:val="center"/>
        <w:rPr>
          <w:rFonts w:eastAsia="Calibri"/>
          <w:iCs w:val="0"/>
          <w:color w:val="000000"/>
          <w:sz w:val="16"/>
          <w:szCs w:val="16"/>
          <w:lang w:eastAsia="en-US"/>
        </w:rPr>
      </w:pPr>
    </w:p>
    <w:p w14:paraId="395A23F9" w14:textId="77777777" w:rsidR="001A0124" w:rsidRPr="001A0124" w:rsidRDefault="001A0124" w:rsidP="001A0124">
      <w:pPr>
        <w:widowControl/>
        <w:spacing w:before="0" w:after="0" w:line="276" w:lineRule="auto"/>
        <w:ind w:left="284" w:hanging="284"/>
        <w:jc w:val="both"/>
        <w:rPr>
          <w:iCs w:val="0"/>
          <w:color w:val="000000"/>
          <w:sz w:val="16"/>
          <w:szCs w:val="16"/>
          <w:lang w:eastAsia="ar-SA"/>
        </w:rPr>
      </w:pPr>
      <w:r w:rsidRPr="001A0124">
        <w:rPr>
          <w:rFonts w:eastAsia="Calibri"/>
          <w:iCs w:val="0"/>
          <w:sz w:val="16"/>
          <w:szCs w:val="16"/>
          <w:lang w:eastAsia="en-US"/>
        </w:rPr>
        <w:t>1. A</w:t>
      </w:r>
      <w:r w:rsidRPr="001A0124">
        <w:rPr>
          <w:iCs w:val="0"/>
          <w:sz w:val="16"/>
          <w:szCs w:val="16"/>
        </w:rPr>
        <w:t xml:space="preserve">dministratorem Pani/Pana danych osobowych jest Wójt Gminy Masłowice, Masłowice 4, 97-515 Masłowice, NIP: 7722259981, REGON: 590648103, nr telefonu </w:t>
      </w:r>
      <w:r w:rsidRPr="001A0124">
        <w:rPr>
          <w:b/>
          <w:bCs/>
          <w:iCs w:val="0"/>
          <w:color w:val="000000"/>
          <w:sz w:val="16"/>
          <w:szCs w:val="16"/>
          <w:lang w:eastAsia="ar-SA"/>
        </w:rPr>
        <w:t>+</w:t>
      </w:r>
      <w:r w:rsidRPr="001A0124">
        <w:rPr>
          <w:iCs w:val="0"/>
          <w:color w:val="000000"/>
          <w:sz w:val="16"/>
          <w:szCs w:val="16"/>
          <w:shd w:val="clear" w:color="auto" w:fill="F4F4F4"/>
          <w:lang w:eastAsia="ar-SA"/>
        </w:rPr>
        <w:t>48 (44) 787-46-16, 25</w:t>
      </w:r>
      <w:r w:rsidRPr="001A0124">
        <w:rPr>
          <w:bCs/>
          <w:iCs w:val="0"/>
          <w:color w:val="000000"/>
          <w:sz w:val="16"/>
          <w:szCs w:val="16"/>
          <w:lang w:eastAsia="ar-SA"/>
        </w:rPr>
        <w:t>, nr faksu +48 (44) 787-46-16,25.</w:t>
      </w:r>
    </w:p>
    <w:p w14:paraId="5222D41C" w14:textId="77777777" w:rsidR="001A0124" w:rsidRPr="001A0124" w:rsidRDefault="001A0124" w:rsidP="001A0124">
      <w:pPr>
        <w:widowControl/>
        <w:suppressAutoHyphens/>
        <w:spacing w:before="0" w:after="0" w:line="276" w:lineRule="auto"/>
        <w:ind w:left="284" w:hanging="284"/>
        <w:jc w:val="both"/>
        <w:rPr>
          <w:iCs w:val="0"/>
          <w:color w:val="000000"/>
          <w:sz w:val="16"/>
          <w:szCs w:val="16"/>
          <w:lang w:eastAsia="ar-SA"/>
        </w:rPr>
      </w:pPr>
      <w:r w:rsidRPr="001A0124">
        <w:rPr>
          <w:iCs w:val="0"/>
          <w:sz w:val="16"/>
          <w:szCs w:val="16"/>
          <w:shd w:val="clear" w:color="auto" w:fill="FFFFFF"/>
        </w:rPr>
        <w:t xml:space="preserve"> 2. Kontakt z inspektorem ochrony danych w Gminie Masłowice jest możliwy za pośrednictwem</w:t>
      </w:r>
      <w:r w:rsidRPr="001A0124">
        <w:rPr>
          <w:iCs w:val="0"/>
          <w:sz w:val="16"/>
          <w:szCs w:val="16"/>
        </w:rPr>
        <w:t xml:space="preserve"> adresu e-mail: iod@maslowice.pl</w:t>
      </w:r>
    </w:p>
    <w:p w14:paraId="1D30090C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3.  Dane osobowe przetwarzane będą w celu załatwienia sprawy zgodnie ze złożonym wnioskiem. Na gruncie RODO podstawę prawną przetwarzania Pani/Pana danych osobowych stanowi art. 6 ust. 1 lit. c RODO (przetwarzanie jest niezbędne do wypełnienia obowiązku prawnego ciążącego na administratorze) w związku z art. 6 ust. 1 lit. e RODO (przetwarzanie jest niezbędne do wykonania zadania realizowanego w interesie publicznym lub w ramach sprawowania władzy publicznej powierzonej administratorowi). Podstawą prawną na gruncie prawa krajowego jest ustawa z dnia 27 marca 2003 r. o planowaniu i zagospodarowaniu przestrzennym.</w:t>
      </w:r>
    </w:p>
    <w:p w14:paraId="56D7C0CA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4.  Dane osobowe będą przechowywane przez okres niezbędny do realizacji wskazanego celu, a po tym czasie przez okres przewidziany w przepisach dotyczących przechowywania i archiwizacji dokumentacji.</w:t>
      </w:r>
    </w:p>
    <w:p w14:paraId="2E0BDE66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5.  Posiada Pani/Pan prawo żądania dostępu do treści swoich danych oraz prawo ich sprostowania, usunięcia, ograniczenia przetwarzania, prawo do przenoszenia danych, prawo wniesienia sprzeciwu.</w:t>
      </w:r>
    </w:p>
    <w:p w14:paraId="185FC0CE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6.  Każda osoba ma prawo wniesienia skargi do Prezesa Urzędu Ochrony Danych Osobowych jeśli uzna, że przetwarzanie jej danych osobowych odbywa się niezgodnie z przepisami. 4.</w:t>
      </w: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ab/>
      </w:r>
    </w:p>
    <w:p w14:paraId="2C7458D5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 xml:space="preserve">7.  Dane osobowe mogą być udostępniane uprawnionym podmiotom na podstawie przepisów prawa w tym organom administracji publicznej oraz innym podmiotom jeśli podmioty te będą uprawnione do otrzymania danych osobowych na podstawie przepisów prawa – w zakresie niezbędnym do realizacji zadań publicznych. Dane osobowe mogą być udostępniane również podmiotom/osobom, którym Administrator wydał polecenie przetwarzania danych osobowych na podstawie art. 28 RODO lub 29 RODO. </w:t>
      </w:r>
    </w:p>
    <w:p w14:paraId="0680AD7D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8. Podanie danych osobowych jest wymogiem ustawowym. Niepodanie danych osobowych uniemożliwia wszczęcie i prowadzenie sprawy z Pani/Pana wniosku lub będzie skutkowało wezwaniem do ich uzupełnienia, a w przypadku nieuzupełnienia pozostawieniem wniosku bez rozpoznania.</w:t>
      </w:r>
    </w:p>
    <w:p w14:paraId="118C3A2D" w14:textId="77777777" w:rsidR="001A0124" w:rsidRPr="001A0124" w:rsidRDefault="001A0124" w:rsidP="001A0124">
      <w:pPr>
        <w:widowControl/>
        <w:autoSpaceDE w:val="0"/>
        <w:autoSpaceDN w:val="0"/>
        <w:adjustRightInd w:val="0"/>
        <w:spacing w:before="0" w:after="0" w:line="276" w:lineRule="auto"/>
        <w:ind w:left="284" w:hanging="284"/>
        <w:jc w:val="both"/>
        <w:rPr>
          <w:rFonts w:eastAsia="Calibri"/>
          <w:iCs w:val="0"/>
          <w:color w:val="000000"/>
          <w:sz w:val="16"/>
          <w:szCs w:val="16"/>
          <w:lang w:eastAsia="en-US"/>
        </w:rPr>
      </w:pPr>
      <w:r w:rsidRPr="001A0124">
        <w:rPr>
          <w:rFonts w:eastAsia="Calibri"/>
          <w:iCs w:val="0"/>
          <w:color w:val="000000"/>
          <w:sz w:val="16"/>
          <w:szCs w:val="16"/>
          <w:lang w:eastAsia="en-US"/>
        </w:rPr>
        <w:t>9.  Dane nie będą przetwarzane w sposób zautomatyzowany i nie będą podlegały profilowaniu. Dane osobowe nie będą przekazywane do państw trzecich lub organizacji międzynarodowych.</w:t>
      </w:r>
    </w:p>
    <w:p w14:paraId="51B2B1F6" w14:textId="77777777" w:rsidR="001A0124" w:rsidRPr="001A0124" w:rsidRDefault="001A0124" w:rsidP="008B45D3">
      <w:pPr>
        <w:pStyle w:val="Tekstprzypisukocowego"/>
        <w:spacing w:before="0" w:after="0"/>
        <w:ind w:left="284" w:hanging="426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69710"/>
      <w:docPartObj>
        <w:docPartGallery w:val="Page Numbers (Bottom of Page)"/>
        <w:docPartUnique/>
      </w:docPartObj>
    </w:sdtPr>
    <w:sdtEndPr/>
    <w:sdtContent>
      <w:p w14:paraId="731BC4BD" w14:textId="29CA3577" w:rsidR="004A5ABB" w:rsidRDefault="004A5A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D3">
          <w:rPr>
            <w:noProof/>
          </w:rPr>
          <w:t>9</w:t>
        </w:r>
        <w:r>
          <w:fldChar w:fldCharType="end"/>
        </w:r>
      </w:p>
    </w:sdtContent>
  </w:sdt>
  <w:p w14:paraId="0E7B6B00" w14:textId="77777777" w:rsidR="004A5ABB" w:rsidRDefault="004A5A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802270"/>
      <w:docPartObj>
        <w:docPartGallery w:val="Page Numbers (Bottom of Page)"/>
        <w:docPartUnique/>
      </w:docPartObj>
    </w:sdtPr>
    <w:sdtEndPr/>
    <w:sdtContent>
      <w:p w14:paraId="46A8A624" w14:textId="1BAB0405" w:rsidR="004A5ABB" w:rsidRDefault="004A5A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4D">
          <w:rPr>
            <w:noProof/>
          </w:rPr>
          <w:t>1</w:t>
        </w:r>
        <w:r>
          <w:fldChar w:fldCharType="end"/>
        </w:r>
      </w:p>
    </w:sdtContent>
  </w:sdt>
  <w:p w14:paraId="45C0BB82" w14:textId="77777777" w:rsidR="004A5ABB" w:rsidRDefault="004A5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B167" w14:textId="77777777" w:rsidR="001B34A2" w:rsidRDefault="001B34A2" w:rsidP="005F02B9">
      <w:r>
        <w:separator/>
      </w:r>
    </w:p>
    <w:p w14:paraId="37ADAAA3" w14:textId="77777777" w:rsidR="001B34A2" w:rsidRDefault="001B34A2" w:rsidP="005F02B9"/>
    <w:p w14:paraId="1C78108D" w14:textId="77777777" w:rsidR="001B34A2" w:rsidRDefault="001B34A2" w:rsidP="005F02B9"/>
    <w:p w14:paraId="451FA2D3" w14:textId="77777777" w:rsidR="001B34A2" w:rsidRDefault="001B34A2"/>
  </w:footnote>
  <w:footnote w:type="continuationSeparator" w:id="0">
    <w:p w14:paraId="13F1AD27" w14:textId="77777777" w:rsidR="001B34A2" w:rsidRDefault="001B34A2" w:rsidP="005F02B9">
      <w:r>
        <w:continuationSeparator/>
      </w:r>
    </w:p>
    <w:p w14:paraId="398C7607" w14:textId="77777777" w:rsidR="001B34A2" w:rsidRDefault="001B34A2" w:rsidP="005F02B9"/>
    <w:p w14:paraId="5C98C19C" w14:textId="77777777" w:rsidR="001B34A2" w:rsidRDefault="001B34A2" w:rsidP="005F02B9"/>
    <w:p w14:paraId="6B485A0E" w14:textId="77777777" w:rsidR="001B34A2" w:rsidRDefault="001B34A2"/>
  </w:footnote>
  <w:footnote w:type="continuationNotice" w:id="1">
    <w:p w14:paraId="79540A02" w14:textId="77777777" w:rsidR="001B34A2" w:rsidRDefault="001B34A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646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646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07720D0A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674D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124"/>
    <w:rsid w:val="001A5E0D"/>
    <w:rsid w:val="001A6349"/>
    <w:rsid w:val="001B34A2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5ABB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5D3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81B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D5B1A8F-2154-41D0-9041-6349CE45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5CD6-CAB6-4CAC-B94D-BD0A4CB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inwestycje</cp:lastModifiedBy>
  <cp:revision>4</cp:revision>
  <cp:lastPrinted>2021-12-29T15:00:00Z</cp:lastPrinted>
  <dcterms:created xsi:type="dcterms:W3CDTF">2021-12-23T07:42:00Z</dcterms:created>
  <dcterms:modified xsi:type="dcterms:W3CDTF">2022-01-10T11:44:00Z</dcterms:modified>
</cp:coreProperties>
</file>